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5E1B49" w:rsidRPr="005E1B49">
        <w:rPr>
          <w:rFonts w:ascii="Cambria" w:hAnsi="Cambria"/>
          <w:b/>
          <w:bCs/>
          <w:sz w:val="22"/>
          <w:szCs w:val="22"/>
          <w:lang w:val="lt-LT"/>
        </w:rPr>
        <w:t>TRIKANALIO KATETERIO KRAUJODAROS KAMIENINIŲ LĄSTELIŲ GRĄŽINIMUI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DFE" w:rsidRDefault="006B3DFE" w:rsidP="00516023">
      <w:r>
        <w:separator/>
      </w:r>
    </w:p>
  </w:endnote>
  <w:endnote w:type="continuationSeparator" w:id="0">
    <w:p w:rsidR="006B3DFE" w:rsidRDefault="006B3DFE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DFE" w:rsidRDefault="006B3DFE" w:rsidP="00516023">
      <w:r>
        <w:separator/>
      </w:r>
    </w:p>
  </w:footnote>
  <w:footnote w:type="continuationSeparator" w:id="0">
    <w:p w:rsidR="006B3DFE" w:rsidRDefault="006B3DFE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1B49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3DFE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6AE841-2332-4EAA-922C-ECC01F7E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2787</Words>
  <Characters>1589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2026-08-11T11:14:00Z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